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FCC" w:rsidRDefault="00833FCC" w:rsidP="00833FCC">
      <w:pPr>
        <w:spacing w:before="120" w:after="120"/>
        <w:ind w:firstLine="720"/>
        <w:jc w:val="center"/>
        <w:rPr>
          <w:rFonts w:asciiTheme="majorHAnsi" w:hAnsiTheme="majorHAnsi" w:cstheme="majorHAnsi"/>
          <w:b/>
          <w:bCs/>
          <w:iCs/>
          <w:szCs w:val="28"/>
        </w:rPr>
      </w:pPr>
      <w:r>
        <w:rPr>
          <w:rFonts w:asciiTheme="majorHAnsi" w:hAnsiTheme="majorHAnsi" w:cstheme="majorHAnsi"/>
          <w:b/>
          <w:bCs/>
          <w:iCs/>
          <w:szCs w:val="28"/>
        </w:rPr>
        <w:t>BAN CÔNG TÁC ĐẠI BIỂU</w:t>
      </w:r>
    </w:p>
    <w:p w:rsidR="00833FCC" w:rsidRPr="00833FCC" w:rsidRDefault="00833FCC" w:rsidP="00833FCC">
      <w:pPr>
        <w:spacing w:before="120" w:after="120"/>
        <w:ind w:firstLine="720"/>
        <w:jc w:val="center"/>
        <w:rPr>
          <w:rFonts w:asciiTheme="majorHAnsi" w:hAnsiTheme="majorHAnsi" w:cstheme="majorHAnsi"/>
          <w:b/>
          <w:bCs/>
          <w:iCs/>
          <w:szCs w:val="28"/>
        </w:rPr>
      </w:pPr>
    </w:p>
    <w:p w:rsidR="00833FCC" w:rsidRPr="00833FCC" w:rsidRDefault="00833FCC" w:rsidP="00833FCC">
      <w:pPr>
        <w:spacing w:before="120" w:after="120"/>
        <w:ind w:firstLine="720"/>
        <w:rPr>
          <w:rFonts w:asciiTheme="majorHAnsi" w:hAnsiTheme="majorHAnsi" w:cstheme="majorHAnsi"/>
          <w:i/>
          <w:spacing w:val="-2"/>
          <w:szCs w:val="28"/>
        </w:rPr>
      </w:pPr>
      <w:r w:rsidRPr="00833FCC">
        <w:rPr>
          <w:rFonts w:asciiTheme="majorHAnsi" w:hAnsiTheme="majorHAnsi" w:cstheme="majorHAnsi"/>
          <w:b/>
          <w:bCs/>
          <w:i/>
          <w:iCs/>
          <w:szCs w:val="28"/>
        </w:rPr>
        <w:t>1. Cử tri thành phố Đà Nẵng kiến nghị:</w:t>
      </w:r>
      <w:r w:rsidRPr="00833FCC">
        <w:rPr>
          <w:rFonts w:asciiTheme="majorHAnsi" w:hAnsiTheme="majorHAnsi" w:cstheme="majorHAnsi"/>
          <w:bCs/>
          <w:i/>
          <w:iCs/>
          <w:szCs w:val="28"/>
        </w:rPr>
        <w:t xml:space="preserve"> </w:t>
      </w:r>
      <w:r w:rsidRPr="00833FCC">
        <w:rPr>
          <w:rFonts w:asciiTheme="majorHAnsi" w:hAnsiTheme="majorHAnsi" w:cstheme="majorHAnsi"/>
          <w:i/>
          <w:spacing w:val="-2"/>
          <w:szCs w:val="28"/>
        </w:rPr>
        <w:t>“Cử tri kiến nghị, hiện tại tỷ lệ đại biểu của cơ quan hành pháp trong Quốc hội còn quá cao, dẫn đến tình trạng đại biểu vắng họp, hoặc đi đi về về trong các kỳ họp rất nhiều gây tổn hại cho ngân sách. Khi tham dự họp thì hầu như không có ý kiến. Cử tri đề nghị Quốc hội cho biết chủ trương gì để giải quyết vấn đề này?”</w:t>
      </w:r>
    </w:p>
    <w:p w:rsidR="00833FCC" w:rsidRPr="00833FCC" w:rsidRDefault="00833FCC" w:rsidP="00833FCC">
      <w:pPr>
        <w:pStyle w:val="1dieu-noidung"/>
        <w:ind w:firstLine="720"/>
        <w:rPr>
          <w:rFonts w:asciiTheme="majorHAnsi" w:hAnsiTheme="majorHAnsi" w:cstheme="majorHAnsi"/>
        </w:rPr>
      </w:pPr>
      <w:r w:rsidRPr="00833FCC">
        <w:rPr>
          <w:rFonts w:asciiTheme="majorHAnsi" w:hAnsiTheme="majorHAnsi" w:cstheme="majorHAnsi"/>
          <w:b/>
        </w:rPr>
        <w:t xml:space="preserve">Trả lời: </w:t>
      </w:r>
      <w:r w:rsidRPr="00833FCC">
        <w:rPr>
          <w:rFonts w:asciiTheme="majorHAnsi" w:hAnsiTheme="majorHAnsi" w:cstheme="majorHAnsi"/>
        </w:rPr>
        <w:t>(Tại Công văn số 117 /BCTĐB-CTĐB ngày 18/1/2019)</w:t>
      </w:r>
    </w:p>
    <w:p w:rsidR="00833FCC" w:rsidRPr="00833FCC" w:rsidRDefault="00833FCC" w:rsidP="00833FCC">
      <w:pPr>
        <w:spacing w:before="120" w:after="120"/>
        <w:ind w:firstLine="720"/>
        <w:jc w:val="both"/>
        <w:rPr>
          <w:rFonts w:asciiTheme="majorHAnsi" w:hAnsiTheme="majorHAnsi" w:cstheme="majorHAnsi"/>
          <w:szCs w:val="28"/>
        </w:rPr>
      </w:pPr>
      <w:r w:rsidRPr="00833FCC">
        <w:rPr>
          <w:rFonts w:asciiTheme="majorHAnsi" w:hAnsiTheme="majorHAnsi" w:cstheme="majorHAnsi"/>
          <w:szCs w:val="28"/>
        </w:rPr>
        <w:t>Kiến nghị của cử tri nêu lên đã thể hiện tinh thần trách nhiệm, xây dựng, đóng góp cho sự phát triển trong hoạt động của Quốc hội nói chung và đại biểu Quốc hội nói riêng. Vấn đề tham dự của đại biểu Quốc hội tại các phiên họp luôn được Lãnh đạo Quốc hội quan tâm. Thực hiện ý kiến chỉ đạo của Lãnh đạo Quốc hội, tại mỗi kỳ họp, Tổng Thư ký Quốc hội đều có văn bản gửi tới các đồng chí Trưởng đoàn đại biểu Quốc hội về việc đề nghị nhắc nhở các vị đại biểu Quốc hội trong Đoàn tham dự đầy đủ các phiên họp.</w:t>
      </w:r>
    </w:p>
    <w:p w:rsidR="00833FCC" w:rsidRPr="00833FCC" w:rsidRDefault="00833FCC" w:rsidP="00833FCC">
      <w:pPr>
        <w:spacing w:before="120" w:after="120"/>
        <w:ind w:firstLine="720"/>
        <w:jc w:val="both"/>
        <w:rPr>
          <w:rFonts w:asciiTheme="majorHAnsi" w:hAnsiTheme="majorHAnsi" w:cstheme="majorHAnsi"/>
          <w:spacing w:val="-2"/>
          <w:szCs w:val="28"/>
        </w:rPr>
      </w:pPr>
      <w:r w:rsidRPr="00833FCC">
        <w:rPr>
          <w:rFonts w:asciiTheme="majorHAnsi" w:hAnsiTheme="majorHAnsi" w:cstheme="majorHAnsi"/>
          <w:bCs/>
          <w:iCs/>
          <w:spacing w:val="-2"/>
          <w:szCs w:val="28"/>
        </w:rPr>
        <w:t>Ban Công tác đại biểu xin ghi nhận ý kiến cử tri và sẽ tham mưu Uỷ ban Thường vụ Quốc hội trong việc thực hiện quy định: “…</w:t>
      </w:r>
      <w:r w:rsidRPr="00833FCC">
        <w:rPr>
          <w:rFonts w:asciiTheme="majorHAnsi" w:hAnsiTheme="majorHAnsi" w:cstheme="majorHAnsi"/>
          <w:i/>
          <w:spacing w:val="-2"/>
          <w:szCs w:val="28"/>
        </w:rPr>
        <w:t>Th</w:t>
      </w:r>
      <w:r w:rsidRPr="00833FCC">
        <w:rPr>
          <w:rFonts w:asciiTheme="majorHAnsi" w:hAnsiTheme="majorHAnsi" w:cstheme="majorHAnsi"/>
          <w:i/>
          <w:spacing w:val="-2"/>
          <w:szCs w:val="28"/>
          <w:lang w:val="vi-VN"/>
        </w:rPr>
        <w:t>ực hiện tăng tỉ lệ đại biểu Quốc hội chuy</w:t>
      </w:r>
      <w:r w:rsidRPr="00833FCC">
        <w:rPr>
          <w:rFonts w:asciiTheme="majorHAnsi" w:hAnsiTheme="majorHAnsi" w:cstheme="majorHAnsi"/>
          <w:i/>
          <w:spacing w:val="-2"/>
          <w:szCs w:val="28"/>
        </w:rPr>
        <w:t>ên trách theo mục</w:t>
      </w:r>
      <w:r w:rsidRPr="00833FCC">
        <w:rPr>
          <w:rFonts w:asciiTheme="majorHAnsi" w:hAnsiTheme="majorHAnsi" w:cstheme="majorHAnsi"/>
          <w:i/>
          <w:spacing w:val="-2"/>
          <w:szCs w:val="28"/>
          <w:lang w:val="vi-VN"/>
        </w:rPr>
        <w:t xml:space="preserve"> ti</w:t>
      </w:r>
      <w:r w:rsidRPr="00833FCC">
        <w:rPr>
          <w:rFonts w:asciiTheme="majorHAnsi" w:hAnsiTheme="majorHAnsi" w:cstheme="majorHAnsi"/>
          <w:i/>
          <w:spacing w:val="-2"/>
          <w:szCs w:val="28"/>
        </w:rPr>
        <w:t>êu đã đ</w:t>
      </w:r>
      <w:r w:rsidRPr="00833FCC">
        <w:rPr>
          <w:rFonts w:asciiTheme="majorHAnsi" w:hAnsiTheme="majorHAnsi" w:cstheme="majorHAnsi"/>
          <w:i/>
          <w:spacing w:val="-2"/>
          <w:szCs w:val="28"/>
          <w:lang w:val="vi-VN"/>
        </w:rPr>
        <w:t>ề ra;</w:t>
      </w:r>
      <w:r w:rsidRPr="00833FCC">
        <w:rPr>
          <w:rFonts w:asciiTheme="majorHAnsi" w:hAnsiTheme="majorHAnsi" w:cstheme="majorHAnsi"/>
          <w:i/>
          <w:spacing w:val="-2"/>
          <w:szCs w:val="28"/>
        </w:rPr>
        <w:t xml:space="preserve"> </w:t>
      </w:r>
      <w:r w:rsidRPr="00833FCC">
        <w:rPr>
          <w:rFonts w:asciiTheme="majorHAnsi" w:hAnsiTheme="majorHAnsi" w:cstheme="majorHAnsi"/>
          <w:i/>
          <w:color w:val="000000"/>
          <w:spacing w:val="-2"/>
          <w:szCs w:val="28"/>
          <w:shd w:val="clear" w:color="auto" w:fill="FFFFFF"/>
        </w:rPr>
        <w:t>nghiên cứu việc giảm hợp lý số lượng đại biểu Quốc hội kiêm nhiệm công tác ở các cơ quan hành pháp.</w:t>
      </w:r>
      <w:r w:rsidRPr="00833FCC">
        <w:rPr>
          <w:rFonts w:asciiTheme="majorHAnsi" w:hAnsiTheme="majorHAnsi" w:cstheme="majorHAnsi"/>
          <w:i/>
          <w:spacing w:val="-2"/>
          <w:szCs w:val="28"/>
        </w:rPr>
        <w:t>”</w:t>
      </w:r>
      <w:r w:rsidRPr="00833FCC">
        <w:rPr>
          <w:rFonts w:asciiTheme="majorHAnsi" w:hAnsiTheme="majorHAnsi" w:cstheme="majorHAnsi"/>
          <w:spacing w:val="-2"/>
          <w:szCs w:val="28"/>
        </w:rPr>
        <w:t xml:space="preserve"> (</w:t>
      </w:r>
      <w:r w:rsidRPr="00833FCC">
        <w:rPr>
          <w:rFonts w:asciiTheme="majorHAnsi" w:hAnsiTheme="majorHAnsi" w:cstheme="majorHAnsi"/>
          <w:bCs/>
          <w:iCs/>
          <w:spacing w:val="-2"/>
          <w:szCs w:val="28"/>
        </w:rPr>
        <w:t>Nghị quyết số 18-NQ/TW ngày 25 tháng 10 năm 2017 của Hội nghị lần thứ sáu Ban Chấp hành Trung ương khóa XII, Một số vấn đề về tiếp tục đổi mới, sắp xếp tổ chức bộ máy của hệ thống chính trị tinh gọn, hoạt động hiệu lực, hiệu quả).</w:t>
      </w:r>
    </w:p>
    <w:p w:rsidR="00833FCC" w:rsidRPr="00833FCC" w:rsidRDefault="00833FCC" w:rsidP="00833FCC">
      <w:pPr>
        <w:spacing w:before="120" w:after="120"/>
        <w:ind w:firstLine="720"/>
        <w:rPr>
          <w:rFonts w:asciiTheme="majorHAnsi" w:hAnsiTheme="majorHAnsi" w:cstheme="majorHAnsi"/>
          <w:i/>
          <w:szCs w:val="28"/>
        </w:rPr>
      </w:pPr>
      <w:r w:rsidRPr="00833FCC">
        <w:rPr>
          <w:rFonts w:asciiTheme="majorHAnsi" w:hAnsiTheme="majorHAnsi" w:cstheme="majorHAnsi"/>
          <w:b/>
          <w:bCs/>
          <w:i/>
          <w:iCs/>
          <w:szCs w:val="28"/>
        </w:rPr>
        <w:t>2. Cử tri tỉnh Quảng Bình kiến nghị</w:t>
      </w:r>
      <w:r w:rsidRPr="00833FCC">
        <w:rPr>
          <w:rFonts w:asciiTheme="majorHAnsi" w:hAnsiTheme="majorHAnsi" w:cstheme="majorHAnsi"/>
          <w:bCs/>
          <w:i/>
          <w:iCs/>
          <w:szCs w:val="28"/>
        </w:rPr>
        <w:t xml:space="preserve"> </w:t>
      </w:r>
      <w:r w:rsidRPr="00833FCC">
        <w:rPr>
          <w:rFonts w:asciiTheme="majorHAnsi" w:hAnsiTheme="majorHAnsi" w:cstheme="majorHAnsi"/>
          <w:i/>
          <w:szCs w:val="28"/>
        </w:rPr>
        <w:t>“Cử tri đề nghị Quốc hội nâng cao hơn nữa chất lượng hoạt động lấy phiếu tín nhiệm, bỏ phiếu tín nhiệm đối với người giữ chức vụ do Quốc hội bầu hoặc phê chuẩn; đồng thời, tăng cường giám sát, chỉ đạo Hội đồng nhân dân các cấp trong việc lấy phiếu tín nhiệm, bỏ phiếu tín nhiệm đối với người giữ chức vụ do Hội đồng nhân dân bầu đảm bảo khách quan, đúng quy trình, tránh qua loa, hình thức để hoạt động này thực sự có ý nghĩa; qua đó, làm cơ sở giúp các cơ quan có thẩm quyền đánh giá cán bộ được chính xác.”</w:t>
      </w:r>
    </w:p>
    <w:p w:rsidR="00833FCC" w:rsidRPr="00833FCC" w:rsidRDefault="00833FCC" w:rsidP="00833FCC">
      <w:pPr>
        <w:pStyle w:val="1dieu-noidung"/>
        <w:ind w:firstLine="720"/>
        <w:rPr>
          <w:rFonts w:asciiTheme="majorHAnsi" w:hAnsiTheme="majorHAnsi" w:cstheme="majorHAnsi"/>
        </w:rPr>
      </w:pPr>
      <w:r w:rsidRPr="00833FCC">
        <w:rPr>
          <w:rFonts w:asciiTheme="majorHAnsi" w:hAnsiTheme="majorHAnsi" w:cstheme="majorHAnsi"/>
          <w:b/>
        </w:rPr>
        <w:t xml:space="preserve">Trả lời: </w:t>
      </w:r>
      <w:r w:rsidRPr="00833FCC">
        <w:rPr>
          <w:rFonts w:asciiTheme="majorHAnsi" w:hAnsiTheme="majorHAnsi" w:cstheme="majorHAnsi"/>
        </w:rPr>
        <w:t>(Tại Công văn số 118 /BCTĐB-CTĐB ngày 18/1/2019)</w:t>
      </w:r>
    </w:p>
    <w:p w:rsidR="00833FCC" w:rsidRPr="00833FCC" w:rsidRDefault="00833FCC" w:rsidP="00833FCC">
      <w:pPr>
        <w:spacing w:before="120" w:after="120"/>
        <w:ind w:firstLine="720"/>
        <w:jc w:val="both"/>
        <w:rPr>
          <w:rFonts w:asciiTheme="majorHAnsi" w:hAnsiTheme="majorHAnsi" w:cstheme="majorHAnsi"/>
          <w:szCs w:val="28"/>
          <w:lang w:val="en-US" w:eastAsia="fr-FR"/>
        </w:rPr>
      </w:pPr>
      <w:r w:rsidRPr="00833FCC">
        <w:rPr>
          <w:rFonts w:asciiTheme="majorHAnsi" w:hAnsiTheme="majorHAnsi" w:cstheme="majorHAnsi"/>
          <w:szCs w:val="28"/>
          <w:lang w:val="en-US" w:eastAsia="fr-FR"/>
        </w:rPr>
        <w:t xml:space="preserve">Thực hiện Nghị quyết số 85/2014/QH13 ngày 28/11/2014 của Quốc hội về việc lấy phiếu tín nhiệm, bỏ phiếu tín nhiệm đối với người giữ chức vụ do Quốc hội, Hội đồng nhân dân bầu hoặc phê chuẩn, tại kỳ họp thứ 6, Quốc hội khóa XIV và kỳ họp Hội đồng nhân dân các cấp cuối năm 2018, Quốc hội và Hội đồng dân nhân các cấp đã tiến hành lấy phiếu tín nhiệm đối với những người giữ chức vụ do Quốc hội, Hội đồng nhân dân bầu hoặc phê chuẩn. </w:t>
      </w:r>
      <w:r w:rsidRPr="00833FCC">
        <w:rPr>
          <w:rFonts w:asciiTheme="majorHAnsi" w:hAnsiTheme="majorHAnsi" w:cstheme="majorHAnsi"/>
          <w:szCs w:val="28"/>
        </w:rPr>
        <w:t xml:space="preserve">Kết quả lấy phiếu tín nhiệm đã phản ánh trung thực, khách quan thực tế tình hình kinh tế - xã hội, </w:t>
      </w:r>
      <w:r w:rsidRPr="00833FCC">
        <w:rPr>
          <w:rStyle w:val="normal-h"/>
          <w:rFonts w:asciiTheme="majorHAnsi" w:hAnsiTheme="majorHAnsi" w:cstheme="majorHAnsi"/>
          <w:szCs w:val="28"/>
        </w:rPr>
        <w:t>quốc phòng – an ninh, đối ngoại và công tác tư pháp của đất nước; kết quả hoạt động của Quốc hội, Hội đồng nhân dân các cấp từ đầu nhiệm kỳ đến nay.</w:t>
      </w:r>
    </w:p>
    <w:p w:rsidR="00833FCC" w:rsidRPr="00833FCC" w:rsidRDefault="00833FCC" w:rsidP="00833FCC">
      <w:pPr>
        <w:spacing w:before="120" w:after="120"/>
        <w:ind w:firstLine="720"/>
        <w:jc w:val="both"/>
        <w:rPr>
          <w:rFonts w:asciiTheme="majorHAnsi" w:hAnsiTheme="majorHAnsi" w:cstheme="majorHAnsi"/>
          <w:spacing w:val="-2"/>
          <w:szCs w:val="28"/>
          <w:lang w:val="en-US" w:eastAsia="fr-FR"/>
        </w:rPr>
      </w:pPr>
      <w:r w:rsidRPr="00833FCC">
        <w:rPr>
          <w:rFonts w:asciiTheme="majorHAnsi" w:hAnsiTheme="majorHAnsi" w:cstheme="majorHAnsi"/>
          <w:spacing w:val="-2"/>
          <w:szCs w:val="28"/>
          <w:lang w:val="en-US" w:eastAsia="fr-FR"/>
        </w:rPr>
        <w:t>Trong thời gian tới, Ủy ban Thường vụ Quốc hội sẽ chỉ đạo tiến hành tổng kết</w:t>
      </w:r>
      <w:r w:rsidRPr="00833FCC">
        <w:rPr>
          <w:rFonts w:asciiTheme="majorHAnsi" w:hAnsiTheme="majorHAnsi" w:cstheme="majorHAnsi"/>
          <w:szCs w:val="28"/>
        </w:rPr>
        <w:t xml:space="preserve"> việc thực hiện Nghị quyết 85/2014/QH13</w:t>
      </w:r>
      <w:r w:rsidRPr="00833FCC">
        <w:rPr>
          <w:rFonts w:asciiTheme="majorHAnsi" w:hAnsiTheme="majorHAnsi" w:cstheme="majorHAnsi"/>
          <w:spacing w:val="-2"/>
          <w:szCs w:val="28"/>
          <w:lang w:val="en-US" w:eastAsia="fr-FR"/>
        </w:rPr>
        <w:t xml:space="preserve">. Trên cơ sở đó, Ban Công tác đại </w:t>
      </w:r>
      <w:r w:rsidRPr="00833FCC">
        <w:rPr>
          <w:rFonts w:asciiTheme="majorHAnsi" w:hAnsiTheme="majorHAnsi" w:cstheme="majorHAnsi"/>
          <w:spacing w:val="-2"/>
          <w:szCs w:val="28"/>
          <w:lang w:val="en-US" w:eastAsia="fr-FR"/>
        </w:rPr>
        <w:lastRenderedPageBreak/>
        <w:t xml:space="preserve">biểu sẽ nghiên cứu, tham mưu, đề xuất với cơ quan có thẩm quyền xem xét </w:t>
      </w:r>
      <w:r w:rsidRPr="00833FCC">
        <w:rPr>
          <w:rFonts w:asciiTheme="majorHAnsi" w:hAnsiTheme="majorHAnsi" w:cstheme="majorHAnsi"/>
          <w:szCs w:val="28"/>
        </w:rPr>
        <w:t xml:space="preserve">để sửa đổi, hoàn thiện các quy định về lấy phiếu tín nhiệm cho nhiệm kỳ sau. </w:t>
      </w:r>
    </w:p>
    <w:p w:rsidR="00833FCC" w:rsidRPr="00833FCC" w:rsidRDefault="00833FCC" w:rsidP="00833FCC">
      <w:pPr>
        <w:spacing w:before="120" w:after="120"/>
        <w:ind w:firstLine="720"/>
        <w:rPr>
          <w:rFonts w:asciiTheme="majorHAnsi" w:hAnsiTheme="majorHAnsi" w:cstheme="majorHAnsi"/>
          <w:i/>
          <w:szCs w:val="28"/>
        </w:rPr>
      </w:pPr>
      <w:r w:rsidRPr="00833FCC">
        <w:rPr>
          <w:rFonts w:asciiTheme="majorHAnsi" w:hAnsiTheme="majorHAnsi" w:cstheme="majorHAnsi"/>
          <w:b/>
          <w:bCs/>
          <w:i/>
          <w:iCs/>
          <w:szCs w:val="28"/>
        </w:rPr>
        <w:t>3. Cử tri thành phố Hồ Chí Minh kiến nghị:</w:t>
      </w:r>
      <w:r w:rsidRPr="00833FCC">
        <w:rPr>
          <w:rFonts w:asciiTheme="majorHAnsi" w:hAnsiTheme="majorHAnsi" w:cstheme="majorHAnsi"/>
          <w:bCs/>
          <w:i/>
          <w:iCs/>
          <w:szCs w:val="28"/>
        </w:rPr>
        <w:t xml:space="preserve"> </w:t>
      </w:r>
      <w:r w:rsidRPr="00833FCC">
        <w:rPr>
          <w:rFonts w:asciiTheme="majorHAnsi" w:hAnsiTheme="majorHAnsi" w:cstheme="majorHAnsi"/>
          <w:i/>
          <w:szCs w:val="28"/>
        </w:rPr>
        <w:t>“Cử tri đồng tình với chương trình làm việc của Quốc hội tại kỳ họp thứ 6 với nhiều nội dung quan trọng như thông qua các dự án luật; xem xét, đánh giá tình hình kinh tế - xã hội, đặc biệt là việc lấy phiếu tín nhiệm đối với người giữ chức vụ do Quốc hội bầu hoặc phê chuẩn, đây là cơ sở quan trọng để đánh giá, nhìn nhận lại những việc đã làm được của các bộ, ngành kể từ đầu nhiệm kỳ đến nay. Cử tri đề nghị các vị đại biểu Quốc hội cần phát huy tối đa trách nhiệm của mình để hoàn thành chương trình kỳ họp.”</w:t>
      </w:r>
    </w:p>
    <w:p w:rsidR="00833FCC" w:rsidRPr="00833FCC" w:rsidRDefault="00833FCC" w:rsidP="00833FCC">
      <w:pPr>
        <w:pStyle w:val="1dieu-noidung"/>
        <w:ind w:firstLine="720"/>
        <w:rPr>
          <w:rFonts w:asciiTheme="majorHAnsi" w:hAnsiTheme="majorHAnsi" w:cstheme="majorHAnsi"/>
        </w:rPr>
      </w:pPr>
      <w:r w:rsidRPr="00833FCC">
        <w:rPr>
          <w:rFonts w:asciiTheme="majorHAnsi" w:hAnsiTheme="majorHAnsi" w:cstheme="majorHAnsi"/>
          <w:b/>
        </w:rPr>
        <w:t xml:space="preserve">Trả lời: </w:t>
      </w:r>
      <w:r w:rsidRPr="00833FCC">
        <w:rPr>
          <w:rFonts w:asciiTheme="majorHAnsi" w:hAnsiTheme="majorHAnsi" w:cstheme="majorHAnsi"/>
        </w:rPr>
        <w:t>(Tại Công văn số 117 /BCTĐB-CTĐB ngày 18/1/2019)</w:t>
      </w:r>
    </w:p>
    <w:p w:rsidR="00833FCC" w:rsidRPr="00833FCC" w:rsidRDefault="00833FCC" w:rsidP="00833FCC">
      <w:pPr>
        <w:pStyle w:val="Bodytext20"/>
        <w:shd w:val="clear" w:color="auto" w:fill="auto"/>
        <w:spacing w:before="120" w:after="120" w:line="240" w:lineRule="auto"/>
        <w:ind w:firstLine="720"/>
        <w:jc w:val="both"/>
        <w:rPr>
          <w:rFonts w:asciiTheme="majorHAnsi" w:hAnsiTheme="majorHAnsi" w:cstheme="majorHAnsi"/>
          <w:sz w:val="28"/>
          <w:szCs w:val="28"/>
        </w:rPr>
      </w:pPr>
      <w:r w:rsidRPr="00833FCC">
        <w:rPr>
          <w:rFonts w:asciiTheme="majorHAnsi" w:hAnsiTheme="majorHAnsi" w:cstheme="majorHAnsi"/>
          <w:color w:val="000000"/>
          <w:sz w:val="28"/>
          <w:szCs w:val="28"/>
          <w:lang w:bidi="vi-VN"/>
        </w:rPr>
        <w:t>Ban Công tác đại biểu xin trân trọng cảm ơn cử tri đã quan tâm tới hoạt động của Quốc hội nói chung và hoạt động của các đại biểu Quốc hội nói riêng. Ban Công tác đại biểu nhận thấy kiến nghị của cử tri rất xác đáng, Ban Công tác đại biểu sẽ phối hợp với các cơ quan hữu quan nghiên cứu, tiếp thu, trình cấp có thẩm quyền để đưa nội dung này truyền đạt tới các vị đại biểu Quốc hội.</w:t>
      </w:r>
    </w:p>
    <w:p w:rsidR="00833FCC" w:rsidRPr="00833FCC" w:rsidRDefault="00833FCC" w:rsidP="00833FCC">
      <w:pPr>
        <w:spacing w:before="120" w:after="120"/>
        <w:ind w:firstLine="720"/>
        <w:rPr>
          <w:rFonts w:asciiTheme="majorHAnsi" w:hAnsiTheme="majorHAnsi" w:cstheme="majorHAnsi"/>
          <w:szCs w:val="28"/>
          <w:lang w:val="en-US"/>
        </w:rPr>
      </w:pPr>
    </w:p>
    <w:p w:rsidR="00117F8C" w:rsidRPr="00833FCC" w:rsidRDefault="00117F8C" w:rsidP="00833FCC">
      <w:pPr>
        <w:spacing w:before="120" w:after="120"/>
        <w:ind w:firstLine="720"/>
        <w:rPr>
          <w:rFonts w:asciiTheme="majorHAnsi" w:hAnsiTheme="majorHAnsi" w:cstheme="majorHAnsi"/>
          <w:szCs w:val="28"/>
        </w:rPr>
      </w:pPr>
    </w:p>
    <w:sectPr w:rsidR="00117F8C" w:rsidRPr="00833FCC" w:rsidSect="001B0B44">
      <w:headerReference w:type="even" r:id="rId4"/>
      <w:footerReference w:type="even" r:id="rId5"/>
      <w:footerReference w:type="default" r:id="rId6"/>
      <w:headerReference w:type="first" r:id="rId7"/>
      <w:pgSz w:w="11907" w:h="16840" w:code="9"/>
      <w:pgMar w:top="851" w:right="1134" w:bottom="567" w:left="1701" w:header="567" w:footer="567" w:gutter="0"/>
      <w:cols w:space="708"/>
      <w:titlePg/>
      <w:docGrid w:linePitch="265"/>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nTime">
    <w:altName w:val="Courier Ne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40F" w:rsidRDefault="00833FCC" w:rsidP="00191D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5140F" w:rsidRDefault="00833FCC" w:rsidP="0095140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40F" w:rsidRDefault="00833FCC" w:rsidP="00191D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95140F" w:rsidRDefault="00833FCC" w:rsidP="0095140F">
    <w:pPr>
      <w:pStyle w:val="Footer"/>
      <w:ind w:right="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0FF" w:rsidRDefault="00833FC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630FF" w:rsidRDefault="00833FC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0FF" w:rsidRPr="00A11BB7" w:rsidRDefault="00833FCC">
    <w:pPr>
      <w:pStyle w:val="Header"/>
      <w:rPr>
        <w:i/>
        <w:sz w:val="26"/>
      </w:rPr>
    </w:pPr>
    <w:r>
      <w:tab/>
    </w:r>
    <w:r>
      <w:rPr>
        <w:i/>
        <w:sz w:val="26"/>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833FCC"/>
    <w:rsid w:val="00117F8C"/>
    <w:rsid w:val="00833FCC"/>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FCC"/>
    <w:pPr>
      <w:spacing w:after="0" w:line="240" w:lineRule="auto"/>
    </w:pPr>
    <w:rPr>
      <w:rFonts w:ascii=".VnTime" w:eastAsia="Times New Roman" w:hAnsi=".VnTime" w:cs="Times New Roman"/>
      <w:sz w:val="28"/>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33FCC"/>
    <w:pPr>
      <w:tabs>
        <w:tab w:val="center" w:pos="4153"/>
        <w:tab w:val="right" w:pos="8306"/>
      </w:tabs>
    </w:pPr>
  </w:style>
  <w:style w:type="character" w:customStyle="1" w:styleId="HeaderChar">
    <w:name w:val="Header Char"/>
    <w:basedOn w:val="DefaultParagraphFont"/>
    <w:link w:val="Header"/>
    <w:rsid w:val="00833FCC"/>
    <w:rPr>
      <w:rFonts w:ascii=".VnTime" w:eastAsia="Times New Roman" w:hAnsi=".VnTime" w:cs="Times New Roman"/>
      <w:sz w:val="28"/>
      <w:szCs w:val="20"/>
      <w:lang w:val="en-AU"/>
    </w:rPr>
  </w:style>
  <w:style w:type="character" w:styleId="PageNumber">
    <w:name w:val="page number"/>
    <w:basedOn w:val="DefaultParagraphFont"/>
    <w:rsid w:val="00833FCC"/>
  </w:style>
  <w:style w:type="paragraph" w:styleId="Footer">
    <w:name w:val="footer"/>
    <w:basedOn w:val="Normal"/>
    <w:link w:val="FooterChar"/>
    <w:rsid w:val="00833FCC"/>
    <w:pPr>
      <w:tabs>
        <w:tab w:val="center" w:pos="4153"/>
        <w:tab w:val="right" w:pos="8306"/>
      </w:tabs>
    </w:pPr>
  </w:style>
  <w:style w:type="character" w:customStyle="1" w:styleId="FooterChar">
    <w:name w:val="Footer Char"/>
    <w:basedOn w:val="DefaultParagraphFont"/>
    <w:link w:val="Footer"/>
    <w:rsid w:val="00833FCC"/>
    <w:rPr>
      <w:rFonts w:ascii=".VnTime" w:eastAsia="Times New Roman" w:hAnsi=".VnTime" w:cs="Times New Roman"/>
      <w:sz w:val="28"/>
      <w:szCs w:val="20"/>
      <w:lang w:val="en-AU"/>
    </w:rPr>
  </w:style>
  <w:style w:type="paragraph" w:customStyle="1" w:styleId="1dieu-noidung">
    <w:name w:val="1. dieu -  noi dung"/>
    <w:basedOn w:val="Normal"/>
    <w:next w:val="Normal"/>
    <w:link w:val="1dieu-noidungChar"/>
    <w:rsid w:val="00833FCC"/>
    <w:pPr>
      <w:spacing w:before="120" w:after="120"/>
      <w:ind w:firstLine="567"/>
      <w:jc w:val="both"/>
    </w:pPr>
    <w:rPr>
      <w:rFonts w:ascii="Times New Roman" w:hAnsi="Times New Roman"/>
      <w:szCs w:val="28"/>
      <w:lang w:val="en-US" w:eastAsia="fr-FR"/>
    </w:rPr>
  </w:style>
  <w:style w:type="character" w:customStyle="1" w:styleId="1dieu-noidungChar">
    <w:name w:val="1. dieu -  noi dung Char"/>
    <w:link w:val="1dieu-noidung"/>
    <w:rsid w:val="00833FCC"/>
    <w:rPr>
      <w:rFonts w:ascii="Times New Roman" w:eastAsia="Times New Roman" w:hAnsi="Times New Roman" w:cs="Times New Roman"/>
      <w:sz w:val="28"/>
      <w:szCs w:val="28"/>
      <w:lang w:val="en-US" w:eastAsia="fr-FR"/>
    </w:rPr>
  </w:style>
  <w:style w:type="character" w:customStyle="1" w:styleId="normal-h">
    <w:name w:val="normal-h"/>
    <w:basedOn w:val="DefaultParagraphFont"/>
    <w:rsid w:val="00833FCC"/>
  </w:style>
  <w:style w:type="character" w:customStyle="1" w:styleId="Bodytext2">
    <w:name w:val="Body text (2)_"/>
    <w:basedOn w:val="DefaultParagraphFont"/>
    <w:link w:val="Bodytext20"/>
    <w:rsid w:val="00833FCC"/>
    <w:rPr>
      <w:sz w:val="26"/>
      <w:szCs w:val="26"/>
      <w:shd w:val="clear" w:color="auto" w:fill="FFFFFF"/>
    </w:rPr>
  </w:style>
  <w:style w:type="paragraph" w:customStyle="1" w:styleId="Bodytext20">
    <w:name w:val="Body text (2)"/>
    <w:basedOn w:val="Normal"/>
    <w:link w:val="Bodytext2"/>
    <w:rsid w:val="00833FCC"/>
    <w:pPr>
      <w:widowControl w:val="0"/>
      <w:shd w:val="clear" w:color="auto" w:fill="FFFFFF"/>
      <w:spacing w:before="360" w:after="360" w:line="0" w:lineRule="atLeast"/>
      <w:ind w:hanging="1300"/>
      <w:jc w:val="center"/>
    </w:pPr>
    <w:rPr>
      <w:rFonts w:asciiTheme="minorHAnsi" w:eastAsiaTheme="minorHAnsi" w:hAnsiTheme="minorHAnsi" w:cstheme="minorBidi"/>
      <w:sz w:val="26"/>
      <w:szCs w:val="26"/>
      <w:lang w:val="vi-V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11" Type="http://schemas.openxmlformats.org/officeDocument/2006/relationships/customXml" Target="../customXml/item2.xml"/><Relationship Id="rId5" Type="http://schemas.openxmlformats.org/officeDocument/2006/relationships/footer" Target="footer1.xml"/><Relationship Id="rId10" Type="http://schemas.openxmlformats.org/officeDocument/2006/relationships/customXml" Target="../customXml/item1.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8AD655-FDF1-46E4-9588-D883EECCDDD0}"/>
</file>

<file path=customXml/itemProps2.xml><?xml version="1.0" encoding="utf-8"?>
<ds:datastoreItem xmlns:ds="http://schemas.openxmlformats.org/officeDocument/2006/customXml" ds:itemID="{96B6EA7B-19AF-4423-9DE0-C3B0B628B4DB}"/>
</file>

<file path=customXml/itemProps3.xml><?xml version="1.0" encoding="utf-8"?>
<ds:datastoreItem xmlns:ds="http://schemas.openxmlformats.org/officeDocument/2006/customXml" ds:itemID="{ED6A7919-B4C2-48DF-B1D5-97F0653D7A56}"/>
</file>

<file path=docProps/app.xml><?xml version="1.0" encoding="utf-8"?>
<Properties xmlns="http://schemas.openxmlformats.org/officeDocument/2006/extended-properties" xmlns:vt="http://schemas.openxmlformats.org/officeDocument/2006/docPropsVTypes">
  <Template>Normal.dotm</Template>
  <TotalTime>5</TotalTime>
  <Pages>2</Pages>
  <Words>605</Words>
  <Characters>3455</Characters>
  <Application>Microsoft Office Word</Application>
  <DocSecurity>0</DocSecurity>
  <Lines>28</Lines>
  <Paragraphs>8</Paragraphs>
  <ScaleCrop>false</ScaleCrop>
  <Company/>
  <LinksUpToDate>false</LinksUpToDate>
  <CharactersWithSpaces>4052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2019-03-22T09:05:00Z</dcterms:created>
  <dcterms:modified xsi:type="dcterms:W3CDTF">2019-03-22T09:10:00Z</dcterms:modified>
</cp:coreProperties>
</file>